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84" w:rsidRDefault="00287DB1" w:rsidP="00287DB1">
      <w:pPr>
        <w:spacing w:line="480" w:lineRule="auto"/>
        <w:jc w:val="center"/>
        <w:rPr>
          <w:b/>
        </w:rPr>
      </w:pPr>
      <w:r>
        <w:rPr>
          <w:b/>
        </w:rPr>
        <w:t>PROGETTO DI FUSIONE IPAB INFERMERIA SANTO SPIRITO – IPAB FONDAZIONE BORLA</w:t>
      </w:r>
    </w:p>
    <w:p w:rsidR="00287DB1" w:rsidRDefault="00287DB1" w:rsidP="00287DB1">
      <w:pPr>
        <w:spacing w:line="480" w:lineRule="auto"/>
        <w:jc w:val="center"/>
        <w:rPr>
          <w:b/>
        </w:rPr>
      </w:pPr>
      <w:r>
        <w:rPr>
          <w:b/>
        </w:rPr>
        <w:t>P</w:t>
      </w:r>
      <w:r w:rsidR="001278E0">
        <w:rPr>
          <w:b/>
        </w:rPr>
        <w:t>IAN</w:t>
      </w:r>
      <w:r>
        <w:rPr>
          <w:b/>
        </w:rPr>
        <w:t>O DI SOSTENIBILITA’ FINANZIARIA</w:t>
      </w:r>
    </w:p>
    <w:p w:rsidR="00D706AE" w:rsidRDefault="00D706AE" w:rsidP="00287DB1">
      <w:pPr>
        <w:spacing w:line="480" w:lineRule="auto"/>
        <w:jc w:val="center"/>
        <w:rPr>
          <w:b/>
        </w:rPr>
      </w:pPr>
    </w:p>
    <w:p w:rsidR="00287DB1" w:rsidRDefault="00287DB1" w:rsidP="00287DB1">
      <w:pPr>
        <w:spacing w:line="480" w:lineRule="auto"/>
        <w:jc w:val="both"/>
      </w:pPr>
      <w:r>
        <w:t>La legge regionale n. 12 del 2/8/2017  recante “il riordino del sistema delle istituzioni pubbliche di assistenza e beneficenza” ha inevitabilmente fatto emergere le problematiche delle Ipab ancora esistenti sul territorio.</w:t>
      </w:r>
    </w:p>
    <w:p w:rsidR="00287DB1" w:rsidRDefault="00287DB1" w:rsidP="00287DB1">
      <w:pPr>
        <w:spacing w:line="480" w:lineRule="auto"/>
        <w:jc w:val="both"/>
      </w:pPr>
      <w:r>
        <w:t>In specifico la situazione relativa agli Enti per i quali si presenta il progetto di fusione è la seguente:</w:t>
      </w:r>
    </w:p>
    <w:p w:rsidR="00287DB1" w:rsidRDefault="00287DB1" w:rsidP="00287DB1">
      <w:pPr>
        <w:pStyle w:val="Paragrafoelenco"/>
        <w:numPr>
          <w:ilvl w:val="0"/>
          <w:numId w:val="1"/>
        </w:numPr>
        <w:spacing w:line="480" w:lineRule="auto"/>
        <w:jc w:val="both"/>
      </w:pPr>
      <w:r>
        <w:t xml:space="preserve">Infermeria Santo Spirito, Ipab svolgente attività di casa di riposo per anziani con n. 76 posti letto (n. 40 R.S.A., n. 24 R.A. e n. 12 R.A.A.) </w:t>
      </w:r>
    </w:p>
    <w:p w:rsidR="00287DB1" w:rsidRDefault="00287DB1" w:rsidP="00287DB1">
      <w:pPr>
        <w:pStyle w:val="Paragrafoelenco"/>
        <w:spacing w:line="480" w:lineRule="auto"/>
        <w:jc w:val="both"/>
      </w:pPr>
      <w:r>
        <w:t xml:space="preserve">Personale dipendente n. 13 (n. 1 Direttore, n. 1 Amministrativo, n. 1 Coordinatore, n. 2 </w:t>
      </w:r>
      <w:r w:rsidR="00D93B85">
        <w:t>Addetti servizi generali, n. 8 Oss) e appalti a ditte esterne.</w:t>
      </w:r>
    </w:p>
    <w:p w:rsidR="00D93B85" w:rsidRDefault="00D93B85" w:rsidP="00287DB1">
      <w:pPr>
        <w:pStyle w:val="Paragrafoelenco"/>
        <w:spacing w:line="480" w:lineRule="auto"/>
        <w:jc w:val="both"/>
      </w:pPr>
      <w:r>
        <w:t>Presenta i requisiti per poter esercitare l’opzione di scelta tra A.S.P. e Fondazione di diritto privato.</w:t>
      </w:r>
    </w:p>
    <w:p w:rsidR="00D93B85" w:rsidRDefault="00D93B85" w:rsidP="00D93B85">
      <w:pPr>
        <w:pStyle w:val="Paragrafoelenco"/>
        <w:numPr>
          <w:ilvl w:val="0"/>
          <w:numId w:val="1"/>
        </w:numPr>
        <w:spacing w:line="480" w:lineRule="auto"/>
        <w:jc w:val="both"/>
      </w:pPr>
      <w:r>
        <w:t>Fondazione Borla, Ipab nata da volontà testamentarie con lo scopo di provvedere gratuitamente al ricovero, al mantenimento e all’assistenza di persone anziane, sole e bisognose nate nei comuni di Crescentino e Lamporo.</w:t>
      </w:r>
    </w:p>
    <w:p w:rsidR="00D93B85" w:rsidRDefault="00D93B85" w:rsidP="00D93B85">
      <w:pPr>
        <w:pStyle w:val="Paragrafoelenco"/>
        <w:spacing w:line="480" w:lineRule="auto"/>
        <w:jc w:val="both"/>
      </w:pPr>
      <w:r>
        <w:t>Non ha dipendenti e per la sua attività si avvale dei locali e del personal</w:t>
      </w:r>
      <w:r w:rsidR="001C4F6F">
        <w:t>e dell’Infermeria Santo Spirito, per espressa volontà dei benefattori.</w:t>
      </w:r>
    </w:p>
    <w:p w:rsidR="00D93B85" w:rsidRDefault="00D93B85" w:rsidP="00D93B85">
      <w:pPr>
        <w:pStyle w:val="Paragrafoelenco"/>
        <w:spacing w:line="480" w:lineRule="auto"/>
        <w:jc w:val="both"/>
      </w:pPr>
      <w:r>
        <w:t>L’ipab presenta i requisiti  per diventare Fondazione di diritto privato.</w:t>
      </w:r>
    </w:p>
    <w:p w:rsidR="00D93B85" w:rsidRDefault="00D93B85" w:rsidP="00D93B85">
      <w:pPr>
        <w:spacing w:line="480" w:lineRule="auto"/>
        <w:jc w:val="both"/>
      </w:pPr>
      <w:r>
        <w:t>Le due istituzioni sono rette dallo stesso Consiglio di Amministrazione e sono gestite secondo i criteri della contabilità finanziaria.</w:t>
      </w:r>
    </w:p>
    <w:p w:rsidR="00D93B85" w:rsidRDefault="00D93B85" w:rsidP="00D93B85">
      <w:pPr>
        <w:spacing w:line="480" w:lineRule="auto"/>
        <w:jc w:val="both"/>
      </w:pPr>
      <w:r>
        <w:t xml:space="preserve">Oggetto dello studio non è la stima del valore patrimoniale dei beni da conferire ma la verifica  delle condizioni di equilibrio economico </w:t>
      </w:r>
      <w:r w:rsidR="000A27F4">
        <w:t>–</w:t>
      </w:r>
      <w:r>
        <w:t xml:space="preserve"> finanziario</w:t>
      </w:r>
      <w:r w:rsidR="000A27F4">
        <w:t>.</w:t>
      </w:r>
    </w:p>
    <w:p w:rsidR="000A27F4" w:rsidRDefault="000A27F4" w:rsidP="00D93B85">
      <w:pPr>
        <w:spacing w:line="480" w:lineRule="auto"/>
        <w:jc w:val="both"/>
      </w:pPr>
      <w:r>
        <w:t>I conti consuntivi dei due Enti presentano entrambi negli ul</w:t>
      </w:r>
      <w:r w:rsidR="005731CC">
        <w:t xml:space="preserve">timi </w:t>
      </w:r>
      <w:r w:rsidR="00D706AE">
        <w:t>esercizi</w:t>
      </w:r>
      <w:r w:rsidR="005731CC">
        <w:t xml:space="preserve"> un avanzo di gestione come peraltro risulta dal prospetto seguente</w:t>
      </w:r>
    </w:p>
    <w:p w:rsidR="00D706AE" w:rsidRDefault="00D706AE" w:rsidP="00D93B85">
      <w:pPr>
        <w:spacing w:line="480" w:lineRule="auto"/>
        <w:jc w:val="both"/>
      </w:pPr>
    </w:p>
    <w:tbl>
      <w:tblPr>
        <w:tblStyle w:val="Grigliatabella"/>
        <w:tblW w:w="0" w:type="auto"/>
        <w:tblLook w:val="04A0" w:firstRow="1" w:lastRow="0" w:firstColumn="1" w:lastColumn="0" w:noHBand="0" w:noVBand="1"/>
      </w:tblPr>
      <w:tblGrid>
        <w:gridCol w:w="2830"/>
        <w:gridCol w:w="2268"/>
        <w:gridCol w:w="2410"/>
        <w:gridCol w:w="2120"/>
      </w:tblGrid>
      <w:tr w:rsidR="005731CC" w:rsidTr="005731CC">
        <w:tc>
          <w:tcPr>
            <w:tcW w:w="2830" w:type="dxa"/>
          </w:tcPr>
          <w:p w:rsidR="005731CC" w:rsidRDefault="005731CC" w:rsidP="00D93B85">
            <w:pPr>
              <w:spacing w:line="480" w:lineRule="auto"/>
              <w:jc w:val="both"/>
            </w:pPr>
          </w:p>
        </w:tc>
        <w:tc>
          <w:tcPr>
            <w:tcW w:w="2268" w:type="dxa"/>
          </w:tcPr>
          <w:p w:rsidR="005731CC" w:rsidRPr="005731CC" w:rsidRDefault="005731CC" w:rsidP="005731CC">
            <w:pPr>
              <w:spacing w:line="480" w:lineRule="auto"/>
              <w:jc w:val="center"/>
              <w:rPr>
                <w:rFonts w:ascii="Times New Roman" w:hAnsi="Times New Roman" w:cs="Times New Roman"/>
                <w:b/>
              </w:rPr>
            </w:pPr>
            <w:r>
              <w:rPr>
                <w:rFonts w:ascii="Times New Roman" w:hAnsi="Times New Roman" w:cs="Times New Roman"/>
                <w:b/>
              </w:rPr>
              <w:t>Anno 2016</w:t>
            </w:r>
          </w:p>
        </w:tc>
        <w:tc>
          <w:tcPr>
            <w:tcW w:w="2410" w:type="dxa"/>
          </w:tcPr>
          <w:p w:rsidR="005731CC" w:rsidRPr="005731CC" w:rsidRDefault="005731CC" w:rsidP="005731CC">
            <w:pPr>
              <w:spacing w:line="480" w:lineRule="auto"/>
              <w:jc w:val="center"/>
              <w:rPr>
                <w:b/>
              </w:rPr>
            </w:pPr>
            <w:r>
              <w:rPr>
                <w:b/>
              </w:rPr>
              <w:t>Anno 2015</w:t>
            </w:r>
          </w:p>
        </w:tc>
        <w:tc>
          <w:tcPr>
            <w:tcW w:w="2120" w:type="dxa"/>
          </w:tcPr>
          <w:p w:rsidR="005731CC" w:rsidRPr="005731CC" w:rsidRDefault="005731CC" w:rsidP="005731CC">
            <w:pPr>
              <w:spacing w:line="480" w:lineRule="auto"/>
              <w:jc w:val="center"/>
              <w:rPr>
                <w:b/>
              </w:rPr>
            </w:pPr>
            <w:r>
              <w:rPr>
                <w:b/>
              </w:rPr>
              <w:t>Anno 2014</w:t>
            </w:r>
          </w:p>
        </w:tc>
      </w:tr>
      <w:tr w:rsidR="005731CC" w:rsidRPr="005731CC" w:rsidTr="005731CC">
        <w:tc>
          <w:tcPr>
            <w:tcW w:w="2830" w:type="dxa"/>
          </w:tcPr>
          <w:p w:rsidR="005731CC" w:rsidRPr="005731CC" w:rsidRDefault="005731CC" w:rsidP="00D93B85">
            <w:pPr>
              <w:spacing w:line="480" w:lineRule="auto"/>
              <w:jc w:val="both"/>
              <w:rPr>
                <w:rFonts w:ascii="Times New Roman" w:hAnsi="Times New Roman" w:cs="Times New Roman"/>
                <w:b/>
              </w:rPr>
            </w:pPr>
            <w:r>
              <w:rPr>
                <w:rFonts w:ascii="Times New Roman" w:hAnsi="Times New Roman" w:cs="Times New Roman"/>
                <w:b/>
              </w:rPr>
              <w:t>Infermeria Santo Spirito</w:t>
            </w:r>
          </w:p>
        </w:tc>
        <w:tc>
          <w:tcPr>
            <w:tcW w:w="2268" w:type="dxa"/>
          </w:tcPr>
          <w:p w:rsidR="005731CC" w:rsidRPr="00D706AE" w:rsidRDefault="005731CC" w:rsidP="00D706AE">
            <w:pPr>
              <w:spacing w:line="480" w:lineRule="auto"/>
              <w:jc w:val="center"/>
              <w:rPr>
                <w:rFonts w:ascii="Times New Roman" w:hAnsi="Times New Roman" w:cs="Times New Roman"/>
              </w:rPr>
            </w:pPr>
            <w:r w:rsidRPr="00D706AE">
              <w:rPr>
                <w:rFonts w:ascii="Times New Roman" w:hAnsi="Times New Roman" w:cs="Times New Roman"/>
              </w:rPr>
              <w:t>€. 44.487,08</w:t>
            </w:r>
          </w:p>
        </w:tc>
        <w:tc>
          <w:tcPr>
            <w:tcW w:w="2410" w:type="dxa"/>
          </w:tcPr>
          <w:p w:rsidR="005731CC" w:rsidRPr="00D706AE" w:rsidRDefault="005731CC" w:rsidP="00D706AE">
            <w:pPr>
              <w:spacing w:line="480" w:lineRule="auto"/>
              <w:jc w:val="center"/>
              <w:rPr>
                <w:rFonts w:ascii="Times New Roman" w:hAnsi="Times New Roman" w:cs="Times New Roman"/>
              </w:rPr>
            </w:pPr>
            <w:r w:rsidRPr="00D706AE">
              <w:rPr>
                <w:rFonts w:ascii="Times New Roman" w:hAnsi="Times New Roman" w:cs="Times New Roman"/>
              </w:rPr>
              <w:t>€. 33.165,46</w:t>
            </w:r>
          </w:p>
        </w:tc>
        <w:tc>
          <w:tcPr>
            <w:tcW w:w="2120" w:type="dxa"/>
          </w:tcPr>
          <w:p w:rsidR="005731CC" w:rsidRPr="00D706AE" w:rsidRDefault="005731CC" w:rsidP="00D706AE">
            <w:pPr>
              <w:spacing w:line="480" w:lineRule="auto"/>
              <w:jc w:val="center"/>
              <w:rPr>
                <w:rFonts w:ascii="Times New Roman" w:hAnsi="Times New Roman" w:cs="Times New Roman"/>
              </w:rPr>
            </w:pPr>
            <w:r w:rsidRPr="00D706AE">
              <w:rPr>
                <w:rFonts w:ascii="Times New Roman" w:hAnsi="Times New Roman" w:cs="Times New Roman"/>
              </w:rPr>
              <w:t>€. 17.196,71</w:t>
            </w:r>
          </w:p>
        </w:tc>
      </w:tr>
      <w:tr w:rsidR="00D706AE" w:rsidRPr="005731CC" w:rsidTr="005731CC">
        <w:tc>
          <w:tcPr>
            <w:tcW w:w="2830" w:type="dxa"/>
          </w:tcPr>
          <w:p w:rsidR="00D706AE" w:rsidRDefault="00D706AE" w:rsidP="00D93B85">
            <w:pPr>
              <w:spacing w:line="480" w:lineRule="auto"/>
              <w:jc w:val="both"/>
              <w:rPr>
                <w:rFonts w:ascii="Times New Roman" w:hAnsi="Times New Roman" w:cs="Times New Roman"/>
                <w:b/>
              </w:rPr>
            </w:pPr>
            <w:r>
              <w:rPr>
                <w:rFonts w:ascii="Times New Roman" w:hAnsi="Times New Roman" w:cs="Times New Roman"/>
                <w:b/>
              </w:rPr>
              <w:t>Fondazione Borla</w:t>
            </w:r>
          </w:p>
        </w:tc>
        <w:tc>
          <w:tcPr>
            <w:tcW w:w="2268" w:type="dxa"/>
          </w:tcPr>
          <w:p w:rsidR="00D706AE" w:rsidRPr="00D706AE" w:rsidRDefault="00D706AE" w:rsidP="00D706AE">
            <w:pPr>
              <w:spacing w:line="480" w:lineRule="auto"/>
              <w:jc w:val="center"/>
              <w:rPr>
                <w:rFonts w:ascii="Times New Roman" w:hAnsi="Times New Roman" w:cs="Times New Roman"/>
              </w:rPr>
            </w:pPr>
            <w:r>
              <w:rPr>
                <w:rFonts w:ascii="Times New Roman" w:hAnsi="Times New Roman" w:cs="Times New Roman"/>
              </w:rPr>
              <w:t>€. 19.115,37</w:t>
            </w:r>
          </w:p>
        </w:tc>
        <w:tc>
          <w:tcPr>
            <w:tcW w:w="2410" w:type="dxa"/>
          </w:tcPr>
          <w:p w:rsidR="00D706AE" w:rsidRPr="00D706AE" w:rsidRDefault="00D706AE" w:rsidP="00D706AE">
            <w:pPr>
              <w:spacing w:line="480" w:lineRule="auto"/>
              <w:jc w:val="center"/>
              <w:rPr>
                <w:rFonts w:ascii="Times New Roman" w:hAnsi="Times New Roman" w:cs="Times New Roman"/>
              </w:rPr>
            </w:pPr>
            <w:r>
              <w:rPr>
                <w:rFonts w:ascii="Times New Roman" w:hAnsi="Times New Roman" w:cs="Times New Roman"/>
              </w:rPr>
              <w:t>€. 17.336,39</w:t>
            </w:r>
          </w:p>
        </w:tc>
        <w:tc>
          <w:tcPr>
            <w:tcW w:w="2120" w:type="dxa"/>
          </w:tcPr>
          <w:p w:rsidR="00D706AE" w:rsidRPr="00D706AE" w:rsidRDefault="00D706AE" w:rsidP="00D706AE">
            <w:pPr>
              <w:spacing w:line="480" w:lineRule="auto"/>
              <w:jc w:val="center"/>
              <w:rPr>
                <w:rFonts w:ascii="Times New Roman" w:hAnsi="Times New Roman" w:cs="Times New Roman"/>
              </w:rPr>
            </w:pPr>
            <w:r>
              <w:rPr>
                <w:rFonts w:ascii="Times New Roman" w:hAnsi="Times New Roman" w:cs="Times New Roman"/>
              </w:rPr>
              <w:t>€. 10.419,92</w:t>
            </w:r>
          </w:p>
        </w:tc>
      </w:tr>
    </w:tbl>
    <w:p w:rsidR="005731CC" w:rsidRDefault="005731CC" w:rsidP="00D93B85">
      <w:pPr>
        <w:spacing w:line="480" w:lineRule="auto"/>
        <w:jc w:val="both"/>
      </w:pPr>
    </w:p>
    <w:p w:rsidR="00D706AE" w:rsidRDefault="00D706AE" w:rsidP="00D93B85">
      <w:pPr>
        <w:spacing w:line="480" w:lineRule="auto"/>
        <w:jc w:val="both"/>
      </w:pPr>
      <w:r>
        <w:t>Ed anche per l’esercizio 2017, si profila dai consuntivi in fase di elaborazione, un discreto avanzo per entrambe le IPAB.</w:t>
      </w:r>
    </w:p>
    <w:p w:rsidR="000A27F4" w:rsidRDefault="000A27F4" w:rsidP="00D93B85">
      <w:pPr>
        <w:spacing w:line="480" w:lineRule="auto"/>
        <w:jc w:val="both"/>
      </w:pPr>
      <w:r>
        <w:t>La fusione quindi non viene attuata allo scopo di risanare situazioni deficitarie ma con l’obiettivo di creare un unico Ente che, unendo risorse sia patrimoniali che gestionali, sia in grado di far fronte ai bisogni dell’utenza anziana anche ampliando i servizi forniti (infatti è in fase di realizzazione un progetto riguardante la ristrutturazione del fabbricato di proprietà della Fondazione Borla, con la creazione di unità abitative di dimensioni ridotte da destinare ad un’utenza bisognosa che può fruire anche dei servizi alberghieri della casa di riposo</w:t>
      </w:r>
      <w:r w:rsidR="001C4F6F">
        <w:t xml:space="preserve"> ubicata nelle vicinanze</w:t>
      </w:r>
      <w:r>
        <w:t>).</w:t>
      </w:r>
    </w:p>
    <w:p w:rsidR="000A27F4" w:rsidRDefault="000A27F4" w:rsidP="00D93B85">
      <w:pPr>
        <w:spacing w:line="480" w:lineRule="auto"/>
        <w:jc w:val="both"/>
      </w:pPr>
      <w:r>
        <w:t>La fusione tra i due Enti porterà inoltre vantaggi</w:t>
      </w:r>
      <w:r w:rsidR="00FF0A17">
        <w:t xml:space="preserve"> economici derivanti</w:t>
      </w:r>
      <w:r>
        <w:t>:</w:t>
      </w:r>
    </w:p>
    <w:p w:rsidR="00FF0A17" w:rsidRDefault="00FF0A17" w:rsidP="00FF0A17">
      <w:pPr>
        <w:pStyle w:val="Paragrafoelenco"/>
        <w:numPr>
          <w:ilvl w:val="0"/>
          <w:numId w:val="2"/>
        </w:numPr>
        <w:spacing w:line="480" w:lineRule="auto"/>
        <w:jc w:val="both"/>
      </w:pPr>
      <w:r>
        <w:t>dai minori costi di gestione che riguarderanno sicuramente il personale amministrativo e le consulenze esterne</w:t>
      </w:r>
      <w:r w:rsidR="00A519ED">
        <w:t xml:space="preserve">. La Fondazione Borla non ha proprio personale e quindi si avvale dell’apparato amministrativo dell’Infermeria Santo Spirito, che ad oggi si trova a gestire due Enti separatamente ognuno con la propria contabilità ed il proprio bilancio; la fusione in un unico Ente renderà più organica la gestione delle problematiche affidate ai consulenti esterni ( fiscalista che attualmente gestisce due enti con riferimento a Iva, </w:t>
      </w:r>
      <w:r w:rsidR="00E255B1">
        <w:t>dichiarazione redditi, consulenze varie legate a incombenze legislative)</w:t>
      </w:r>
    </w:p>
    <w:p w:rsidR="00FF0A17" w:rsidRDefault="00FF0A17" w:rsidP="00FF0A17">
      <w:pPr>
        <w:pStyle w:val="Paragrafoelenco"/>
        <w:numPr>
          <w:ilvl w:val="0"/>
          <w:numId w:val="2"/>
        </w:numPr>
        <w:spacing w:line="480" w:lineRule="auto"/>
        <w:jc w:val="both"/>
      </w:pPr>
      <w:r>
        <w:t>dal potenziamento dei servizi offerti</w:t>
      </w:r>
      <w:r w:rsidR="001C4F6F">
        <w:t>, soprattutto con riferimento agli anziani non istituzionalizzati,</w:t>
      </w:r>
      <w:r>
        <w:t xml:space="preserve"> ovviamente continuando a porre in essere una politica di efficienza, efficacia ed economicità nella gestione delle risorse disponibili.</w:t>
      </w:r>
    </w:p>
    <w:p w:rsidR="00E255B1" w:rsidRDefault="00E255B1" w:rsidP="00E255B1">
      <w:pPr>
        <w:pStyle w:val="Paragrafoelenco"/>
        <w:spacing w:line="480" w:lineRule="auto"/>
        <w:jc w:val="both"/>
      </w:pPr>
    </w:p>
    <w:p w:rsidR="00E255B1" w:rsidRDefault="00E255B1" w:rsidP="00E255B1">
      <w:pPr>
        <w:pStyle w:val="Paragrafoelenco"/>
        <w:spacing w:line="480" w:lineRule="auto"/>
        <w:ind w:left="0"/>
        <w:jc w:val="both"/>
      </w:pPr>
      <w:r>
        <w:lastRenderedPageBreak/>
        <w:t xml:space="preserve">Il Consiglio di Amministrazione, pur ritenendo la fusione la soluzione ottimale, </w:t>
      </w:r>
      <w:r w:rsidR="00552C31">
        <w:t>è intenzionata nel rispetto dei benefattori che le hanno istituite e come dovere morale nei loro confronti, a mantenere comunque tracce degli Enti originari dando alla nuova Ipab la denominazione SANTO SPIRITO – BORLA.</w:t>
      </w:r>
    </w:p>
    <w:p w:rsidR="008F1AE3" w:rsidRDefault="008F1AE3" w:rsidP="008F1AE3">
      <w:pPr>
        <w:pStyle w:val="Paragrafoelenco"/>
        <w:spacing w:line="480" w:lineRule="auto"/>
        <w:ind w:left="0"/>
        <w:jc w:val="both"/>
      </w:pPr>
    </w:p>
    <w:p w:rsidR="008F1AE3" w:rsidRDefault="008F1AE3" w:rsidP="008F1AE3">
      <w:pPr>
        <w:pStyle w:val="Paragrafoelenco"/>
        <w:spacing w:line="480" w:lineRule="auto"/>
        <w:ind w:left="0"/>
        <w:jc w:val="both"/>
      </w:pPr>
      <w:r>
        <w:t>Crescentino, 29/06/2018</w:t>
      </w:r>
    </w:p>
    <w:p w:rsidR="00C84625" w:rsidRDefault="00C84625" w:rsidP="00C84625">
      <w:pPr>
        <w:pStyle w:val="Paragrafoelenco"/>
        <w:spacing w:line="480" w:lineRule="auto"/>
        <w:jc w:val="both"/>
      </w:pPr>
    </w:p>
    <w:p w:rsidR="00C84625" w:rsidRDefault="00942A81" w:rsidP="00C84625">
      <w:pPr>
        <w:pStyle w:val="Paragrafoelenco"/>
        <w:spacing w:line="480" w:lineRule="auto"/>
        <w:jc w:val="both"/>
      </w:pPr>
      <w:r>
        <w:t xml:space="preserve">                                                                                                                          IL  PRESIDENTE</w:t>
      </w:r>
    </w:p>
    <w:p w:rsidR="00942A81" w:rsidRDefault="00942A81" w:rsidP="00C84625">
      <w:pPr>
        <w:pStyle w:val="Paragrafoelenco"/>
        <w:spacing w:line="480" w:lineRule="auto"/>
        <w:jc w:val="both"/>
      </w:pPr>
      <w:r>
        <w:t xml:space="preserve">                                                                                                            (ARCH. CHIOCCHETTI Maurizio)</w:t>
      </w:r>
    </w:p>
    <w:p w:rsidR="00C84625" w:rsidRDefault="00C84625" w:rsidP="00C84625">
      <w:pPr>
        <w:pStyle w:val="Paragrafoelenco"/>
        <w:spacing w:line="480" w:lineRule="auto"/>
        <w:jc w:val="both"/>
      </w:pPr>
    </w:p>
    <w:p w:rsidR="00C84625" w:rsidRDefault="00C84625" w:rsidP="00C84625">
      <w:pPr>
        <w:pStyle w:val="Paragrafoelenco"/>
        <w:spacing w:line="480" w:lineRule="auto"/>
        <w:jc w:val="both"/>
      </w:pPr>
    </w:p>
    <w:p w:rsidR="00C84625" w:rsidRDefault="00C84625" w:rsidP="00C84625">
      <w:pPr>
        <w:pStyle w:val="Paragrafoelenco"/>
        <w:spacing w:line="480" w:lineRule="auto"/>
        <w:jc w:val="both"/>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552C31" w:rsidRDefault="00552C31" w:rsidP="008F1AE3">
      <w:pPr>
        <w:pStyle w:val="Paragrafoelenco"/>
        <w:spacing w:line="480" w:lineRule="auto"/>
        <w:ind w:left="0"/>
        <w:jc w:val="both"/>
        <w:rPr>
          <w:rFonts w:ascii="Times New Roman" w:hAnsi="Times New Roman" w:cs="Times New Roman"/>
          <w:sz w:val="20"/>
          <w:szCs w:val="20"/>
        </w:rPr>
      </w:pPr>
    </w:p>
    <w:p w:rsidR="00C84625" w:rsidRDefault="008F1AE3" w:rsidP="008F1AE3">
      <w:pPr>
        <w:pStyle w:val="Paragrafoelenco"/>
        <w:spacing w:line="480" w:lineRule="auto"/>
        <w:ind w:left="0"/>
        <w:jc w:val="both"/>
        <w:rPr>
          <w:rFonts w:ascii="Times New Roman" w:hAnsi="Times New Roman" w:cs="Times New Roman"/>
          <w:sz w:val="20"/>
          <w:szCs w:val="20"/>
        </w:rPr>
      </w:pPr>
      <w:r>
        <w:rPr>
          <w:rFonts w:ascii="Times New Roman" w:hAnsi="Times New Roman" w:cs="Times New Roman"/>
          <w:sz w:val="20"/>
          <w:szCs w:val="20"/>
        </w:rPr>
        <w:t>APPROVATO CON DELIBERAZIONI</w:t>
      </w:r>
      <w:r w:rsidR="00D706AE" w:rsidRPr="008F1AE3">
        <w:rPr>
          <w:rFonts w:ascii="Times New Roman" w:hAnsi="Times New Roman" w:cs="Times New Roman"/>
          <w:sz w:val="20"/>
          <w:szCs w:val="20"/>
        </w:rPr>
        <w:t xml:space="preserve"> DEL C.D.A. N. </w:t>
      </w:r>
      <w:r w:rsidRPr="008F1AE3">
        <w:rPr>
          <w:rFonts w:ascii="Times New Roman" w:hAnsi="Times New Roman" w:cs="Times New Roman"/>
          <w:sz w:val="20"/>
          <w:szCs w:val="20"/>
        </w:rPr>
        <w:t>32/2018 E 33/2018</w:t>
      </w:r>
    </w:p>
    <w:p w:rsidR="004A237D" w:rsidRPr="00C84625" w:rsidRDefault="004A237D" w:rsidP="008F1AE3">
      <w:pPr>
        <w:pStyle w:val="Paragrafoelenco"/>
        <w:spacing w:line="480" w:lineRule="auto"/>
        <w:ind w:left="0"/>
        <w:jc w:val="both"/>
        <w:rPr>
          <w:sz w:val="16"/>
          <w:szCs w:val="16"/>
        </w:rPr>
      </w:pPr>
      <w:r>
        <w:rPr>
          <w:rFonts w:ascii="Times New Roman" w:hAnsi="Times New Roman" w:cs="Times New Roman"/>
          <w:sz w:val="20"/>
          <w:szCs w:val="20"/>
        </w:rPr>
        <w:t>PUBBLICATO DAL 27/7/2018 AL 26/8/2018</w:t>
      </w:r>
      <w:bookmarkStart w:id="0" w:name="_GoBack"/>
      <w:bookmarkEnd w:id="0"/>
    </w:p>
    <w:sectPr w:rsidR="004A237D" w:rsidRPr="00C846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E1382"/>
    <w:multiLevelType w:val="hybridMultilevel"/>
    <w:tmpl w:val="8968CE28"/>
    <w:lvl w:ilvl="0" w:tplc="2390D3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096091"/>
    <w:multiLevelType w:val="hybridMultilevel"/>
    <w:tmpl w:val="7F2076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1"/>
    <w:rsid w:val="000A27F4"/>
    <w:rsid w:val="001278E0"/>
    <w:rsid w:val="001C4F6F"/>
    <w:rsid w:val="001D0684"/>
    <w:rsid w:val="00287DB1"/>
    <w:rsid w:val="004A237D"/>
    <w:rsid w:val="00552C31"/>
    <w:rsid w:val="005731CC"/>
    <w:rsid w:val="00622AE9"/>
    <w:rsid w:val="008F1AE3"/>
    <w:rsid w:val="00942590"/>
    <w:rsid w:val="00942A81"/>
    <w:rsid w:val="00A519ED"/>
    <w:rsid w:val="00C84625"/>
    <w:rsid w:val="00D706AE"/>
    <w:rsid w:val="00D93B85"/>
    <w:rsid w:val="00E255B1"/>
    <w:rsid w:val="00FF0A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394E"/>
  <w15:chartTrackingRefBased/>
  <w15:docId w15:val="{44C19810-FC6A-4581-A0D9-2F39B142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7DB1"/>
    <w:pPr>
      <w:ind w:left="720"/>
      <w:contextualSpacing/>
    </w:pPr>
  </w:style>
  <w:style w:type="paragraph" w:styleId="Testofumetto">
    <w:name w:val="Balloon Text"/>
    <w:basedOn w:val="Normale"/>
    <w:link w:val="TestofumettoCarattere"/>
    <w:uiPriority w:val="99"/>
    <w:semiHidden/>
    <w:unhideWhenUsed/>
    <w:rsid w:val="00622A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2AE9"/>
    <w:rPr>
      <w:rFonts w:ascii="Segoe UI" w:hAnsi="Segoe UI" w:cs="Segoe UI"/>
      <w:sz w:val="18"/>
      <w:szCs w:val="18"/>
    </w:rPr>
  </w:style>
  <w:style w:type="table" w:styleId="Grigliatabella">
    <w:name w:val="Table Grid"/>
    <w:basedOn w:val="Tabellanormale"/>
    <w:uiPriority w:val="39"/>
    <w:rsid w:val="0057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17</cp:revision>
  <cp:lastPrinted>2018-07-27T07:03:00Z</cp:lastPrinted>
  <dcterms:created xsi:type="dcterms:W3CDTF">2018-06-12T08:44:00Z</dcterms:created>
  <dcterms:modified xsi:type="dcterms:W3CDTF">2018-07-27T09:34:00Z</dcterms:modified>
</cp:coreProperties>
</file>